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49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8" w:lineRule="auto"/>
        <w:rPr>
          <w:rFonts w:ascii="Arial"/>
          <w:sz w:val="21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drawing>
          <wp:inline distT="0" distB="0" distL="114300" distR="114300">
            <wp:extent cx="4549140" cy="259842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91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eastAsia="zh-CN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</w:t>
      </w:r>
      <w:r>
        <w:rPr>
          <w:rFonts w:hint="eastAsia" w:eastAsia="宋体"/>
          <w:sz w:val="24"/>
          <w:szCs w:val="24"/>
          <w:lang w:eastAsia="zh-CN"/>
        </w:rPr>
        <w:t>。</w:t>
      </w:r>
    </w:p>
    <w:p>
      <w:pPr>
        <w:bidi w:val="0"/>
        <w:rPr>
          <w:rFonts w:hint="eastAsia"/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◆.采用 ELED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</w:t>
      </w:r>
      <w:r>
        <w:rPr>
          <w:rFonts w:hint="eastAsia" w:eastAsia="宋体"/>
          <w:sz w:val="24"/>
          <w:szCs w:val="24"/>
          <w:lang w:val="en-US" w:eastAsia="zh-CN"/>
        </w:rPr>
        <w:t>红外</w:t>
      </w:r>
      <w:r>
        <w:rPr>
          <w:sz w:val="24"/>
          <w:szCs w:val="24"/>
        </w:rPr>
        <w:t>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49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正装 ELED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1920 x 1080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:1073.8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604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刷新频率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60 Hz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色彩度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16.7M(8bit)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val="en-US" w:eastAsia="zh-CN"/>
        </w:rPr>
        <w:t>;单板结构；重量26kg；</w:t>
      </w:r>
      <w:r>
        <w:rPr>
          <w:sz w:val="24"/>
          <w:szCs w:val="24"/>
        </w:rPr>
        <w:t>裸机外形</w:t>
      </w:r>
      <w:bookmarkStart w:id="0" w:name="_GoBack"/>
      <w:bookmarkEnd w:id="0"/>
      <w:r>
        <w:rPr>
          <w:sz w:val="24"/>
          <w:szCs w:val="24"/>
        </w:rPr>
        <w:t>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1132.2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662.2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65.9</w:t>
      </w:r>
      <w:r>
        <w:rPr>
          <w:sz w:val="24"/>
          <w:szCs w:val="24"/>
        </w:rPr>
        <w:t xml:space="preserve">mm *挂架 </w:t>
      </w:r>
      <w:r>
        <w:rPr>
          <w:rFonts w:hint="eastAsia" w:eastAsia="宋体"/>
          <w:sz w:val="24"/>
          <w:szCs w:val="24"/>
          <w:lang w:val="en-US" w:eastAsia="zh-CN"/>
        </w:rPr>
        <w:t>15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1220</w:t>
      </w:r>
      <w:r>
        <w:rPr>
          <w:sz w:val="24"/>
          <w:szCs w:val="24"/>
        </w:rPr>
        <w:t xml:space="preserve">*高 </w:t>
      </w:r>
      <w:r>
        <w:rPr>
          <w:rFonts w:hint="eastAsia" w:eastAsia="宋体"/>
          <w:sz w:val="24"/>
          <w:szCs w:val="24"/>
          <w:lang w:val="en-US" w:eastAsia="zh-CN"/>
        </w:rPr>
        <w:t>763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145</w:t>
      </w:r>
      <w:r>
        <w:rPr>
          <w:sz w:val="24"/>
          <w:szCs w:val="24"/>
        </w:rPr>
        <w:t>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 V ~ 240 V, 50-60 Hz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125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：理论无限次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line="381" w:lineRule="auto"/>
        <w:rPr>
          <w:rFonts w:ascii="Arial"/>
          <w:sz w:val="24"/>
          <w:szCs w:val="24"/>
        </w:rPr>
      </w:pP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416" w:lineRule="auto"/>
        <w:rPr>
          <w:rFonts w:ascii="Arial"/>
          <w:sz w:val="24"/>
          <w:szCs w:val="24"/>
        </w:rPr>
      </w:pPr>
    </w:p>
    <w:p>
      <w:pPr>
        <w:spacing w:line="6674" w:lineRule="exact"/>
        <w:ind w:firstLine="440"/>
        <w:textAlignment w:val="center"/>
        <w:rPr>
          <w:sz w:val="24"/>
          <w:szCs w:val="24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13335</wp:posOffset>
            </wp:positionV>
            <wp:extent cx="6933565" cy="3775710"/>
            <wp:effectExtent l="0" t="0" r="635" b="3810"/>
            <wp:wrapNone/>
            <wp:docPr id="5" name="图片 1" descr="C:\Users\Administrator\Desktop\新款尺寸图\壁挂红外尺寸图\49寸壁挂红外.jpg49寸壁挂红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C:\Users\Administrator\Desktop\新款尺寸图\壁挂红外尺寸图\49寸壁挂红外.jpg49寸壁挂红外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3565" cy="377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73954D5"/>
    <w:rsid w:val="095E488E"/>
    <w:rsid w:val="0D7B533D"/>
    <w:rsid w:val="149836EE"/>
    <w:rsid w:val="159431AF"/>
    <w:rsid w:val="190A1D22"/>
    <w:rsid w:val="1BBB7F9E"/>
    <w:rsid w:val="2070695B"/>
    <w:rsid w:val="258612CC"/>
    <w:rsid w:val="2BB756EA"/>
    <w:rsid w:val="2C613EE7"/>
    <w:rsid w:val="2E6D6A20"/>
    <w:rsid w:val="30DF7082"/>
    <w:rsid w:val="34DB20FF"/>
    <w:rsid w:val="49B863B6"/>
    <w:rsid w:val="4F052688"/>
    <w:rsid w:val="520256E0"/>
    <w:rsid w:val="54AD3CB4"/>
    <w:rsid w:val="58732354"/>
    <w:rsid w:val="5B0C04F3"/>
    <w:rsid w:val="5F184528"/>
    <w:rsid w:val="662A1796"/>
    <w:rsid w:val="677907DE"/>
    <w:rsid w:val="757C7A7D"/>
    <w:rsid w:val="774B21BD"/>
    <w:rsid w:val="788E544D"/>
    <w:rsid w:val="7ACF3FCA"/>
    <w:rsid w:val="7CF175A1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1027</Words>
  <Characters>1277</Characters>
  <TotalTime>3</TotalTime>
  <ScaleCrop>false</ScaleCrop>
  <LinksUpToDate>false</LinksUpToDate>
  <CharactersWithSpaces>1352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51898520063D43998A52BE9B9DBC4FA3_13</vt:lpwstr>
  </property>
</Properties>
</file>